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b/>
          <w:kern w:val="0"/>
          <w:sz w:val="32"/>
          <w:szCs w:val="32"/>
          <w:lang w:val="en-US" w:bidi="ar"/>
        </w:rPr>
      </w:pPr>
      <w:r>
        <w:rPr>
          <w:rFonts w:hint="eastAsia" w:ascii="Times New Roman" w:hAnsi="Times New Roman" w:eastAsia="方正小标宋简体" w:cs="方正小标宋简体"/>
          <w:color w:val="000000"/>
          <w:kern w:val="0"/>
          <w:sz w:val="44"/>
          <w:szCs w:val="44"/>
          <w:lang w:val="en-US" w:eastAsia="zh-CN" w:bidi="ar"/>
        </w:rPr>
        <w:t>湘西州民政局</w:t>
      </w:r>
      <w:r>
        <w:rPr>
          <w:rFonts w:hint="default" w:ascii="Times New Roman" w:hAnsi="Times New Roman" w:eastAsia="方正小标宋简体" w:cs="Times New Roman"/>
          <w:color w:val="000000"/>
          <w:kern w:val="0"/>
          <w:sz w:val="44"/>
          <w:szCs w:val="44"/>
          <w:lang w:val="en-US" w:eastAsia="zh-CN" w:bidi="ar"/>
        </w:rPr>
        <w:t>2025</w:t>
      </w:r>
      <w:r>
        <w:rPr>
          <w:rFonts w:hint="eastAsia" w:ascii="Times New Roman" w:hAnsi="Times New Roman" w:eastAsia="方正小标宋简体" w:cs="方正小标宋简体"/>
          <w:color w:val="000000"/>
          <w:kern w:val="0"/>
          <w:sz w:val="44"/>
          <w:szCs w:val="44"/>
          <w:lang w:val="en-US" w:eastAsia="zh-CN" w:bidi="ar"/>
        </w:rPr>
        <w:t>年度涉企行政检查计划（民办养老机构）</w:t>
      </w:r>
    </w:p>
    <w:tbl>
      <w:tblPr>
        <w:tblStyle w:val="5"/>
        <w:tblW w:w="14872" w:type="dxa"/>
        <w:jc w:val="center"/>
        <w:shd w:val="clear" w:color="auto" w:fill="auto"/>
        <w:tblLayout w:type="fixed"/>
        <w:tblCellMar>
          <w:top w:w="0" w:type="dxa"/>
          <w:left w:w="108" w:type="dxa"/>
          <w:bottom w:w="0" w:type="dxa"/>
          <w:right w:w="108" w:type="dxa"/>
        </w:tblCellMar>
      </w:tblPr>
      <w:tblGrid>
        <w:gridCol w:w="694"/>
        <w:gridCol w:w="1200"/>
        <w:gridCol w:w="2887"/>
        <w:gridCol w:w="1200"/>
        <w:gridCol w:w="2303"/>
        <w:gridCol w:w="1230"/>
        <w:gridCol w:w="1005"/>
        <w:gridCol w:w="1365"/>
        <w:gridCol w:w="752"/>
        <w:gridCol w:w="1320"/>
        <w:gridCol w:w="916"/>
      </w:tblGrid>
      <w:tr>
        <w:tblPrEx>
          <w:tblCellMar>
            <w:top w:w="0" w:type="dxa"/>
            <w:left w:w="108" w:type="dxa"/>
            <w:bottom w:w="0" w:type="dxa"/>
            <w:right w:w="108" w:type="dxa"/>
          </w:tblCellMar>
        </w:tblPrEx>
        <w:trPr>
          <w:trHeight w:val="980" w:hRule="atLeast"/>
          <w:tblHeader/>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检查事项</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实施依据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具体检查对象(含数量)或</w:t>
            </w:r>
            <w:r>
              <w:rPr>
                <w:rFonts w:hint="eastAsia" w:ascii="宋体" w:hAnsi="宋体" w:eastAsia="宋体" w:cs="宋体"/>
                <w:b/>
                <w:color w:val="000000"/>
                <w:kern w:val="0"/>
                <w:sz w:val="21"/>
                <w:szCs w:val="21"/>
                <w:lang w:val="en-US" w:eastAsia="zh-CN" w:bidi="ar"/>
              </w:rPr>
              <w:br w:type="textWrapping"/>
            </w:r>
            <w:r>
              <w:rPr>
                <w:rFonts w:hint="eastAsia" w:ascii="宋体" w:hAnsi="宋体" w:eastAsia="宋体" w:cs="宋体"/>
                <w:b/>
                <w:color w:val="000000"/>
                <w:kern w:val="0"/>
                <w:sz w:val="21"/>
                <w:szCs w:val="21"/>
                <w:lang w:val="en-US" w:eastAsia="zh-CN" w:bidi="ar"/>
              </w:rPr>
              <w:t>“双随机”抽查对象（含总数及比例）</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检查内容（项目）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拟实施检查时间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kern w:val="0"/>
                <w:szCs w:val="21"/>
                <w:lang w:val="en-US" w:bidi="ar"/>
              </w:rPr>
            </w:pPr>
            <w:r>
              <w:rPr>
                <w:rFonts w:hint="eastAsia" w:ascii="宋体" w:hAnsi="宋体" w:eastAsia="宋体" w:cs="宋体"/>
                <w:b/>
                <w:color w:val="000000"/>
                <w:kern w:val="0"/>
                <w:sz w:val="21"/>
                <w:szCs w:val="21"/>
                <w:lang w:val="en-US" w:eastAsia="zh-CN" w:bidi="ar"/>
              </w:rPr>
              <w:t>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方式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kern w:val="0"/>
                <w:szCs w:val="21"/>
                <w:lang w:val="en-US" w:bidi="ar"/>
              </w:rPr>
            </w:pPr>
            <w:r>
              <w:rPr>
                <w:rFonts w:hint="eastAsia" w:ascii="宋体" w:hAnsi="宋体" w:eastAsia="宋体" w:cs="宋体"/>
                <w:b/>
                <w:color w:val="000000"/>
                <w:kern w:val="0"/>
                <w:sz w:val="21"/>
                <w:szCs w:val="21"/>
                <w:lang w:val="en-US" w:eastAsia="zh-CN" w:bidi="ar"/>
              </w:rPr>
              <w:t>年度检查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频次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承办机构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Style w:val="12"/>
                <w:rFonts w:hint="eastAsia" w:ascii="宋体" w:hAnsi="宋体" w:eastAsia="宋体" w:cs="宋体"/>
                <w:b/>
                <w:kern w:val="2"/>
                <w:sz w:val="21"/>
                <w:szCs w:val="21"/>
                <w:lang w:val="en-US" w:eastAsia="zh-CN" w:bidi="ar"/>
              </w:rPr>
              <w:t>是否属跨部门联合检查（如是，需</w:t>
            </w:r>
            <w:r>
              <w:rPr>
                <w:rFonts w:hint="eastAsia" w:ascii="宋体" w:hAnsi="宋体" w:eastAsia="宋体" w:cs="宋体"/>
                <w:b/>
                <w:color w:val="000000"/>
                <w:kern w:val="0"/>
                <w:sz w:val="21"/>
                <w:szCs w:val="21"/>
                <w:lang w:val="en-US" w:eastAsia="zh-CN" w:bidi="ar"/>
              </w:rPr>
              <w:t>写</w:t>
            </w:r>
            <w:r>
              <w:rPr>
                <w:rStyle w:val="12"/>
                <w:rFonts w:hint="eastAsia" w:ascii="宋体" w:hAnsi="宋体" w:eastAsia="宋体" w:cs="宋体"/>
                <w:b/>
                <w:kern w:val="2"/>
                <w:sz w:val="21"/>
                <w:szCs w:val="21"/>
                <w:lang w:val="en-US" w:eastAsia="zh-CN" w:bidi="ar"/>
              </w:rPr>
              <w:t>明牵头部门和配合部门）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center"/>
              <w:outlineLvl w:val="9"/>
              <w:rPr>
                <w:rFonts w:hint="eastAsia" w:ascii="宋体" w:hAnsi="宋体" w:eastAsia="宋体" w:cs="宋体"/>
                <w:b/>
                <w:color w:val="000000"/>
                <w:szCs w:val="21"/>
                <w:lang w:val="en-US"/>
              </w:rPr>
            </w:pPr>
            <w:r>
              <w:rPr>
                <w:rFonts w:hint="eastAsia" w:ascii="宋体" w:hAnsi="宋体" w:eastAsia="宋体" w:cs="宋体"/>
                <w:b/>
                <w:color w:val="000000"/>
                <w:kern w:val="0"/>
                <w:sz w:val="21"/>
                <w:szCs w:val="21"/>
                <w:lang w:val="en-US" w:eastAsia="zh-CN" w:bidi="ar"/>
              </w:rPr>
              <w:t>备注</w:t>
            </w:r>
          </w:p>
        </w:tc>
      </w:tr>
      <w:tr>
        <w:tblPrEx>
          <w:shd w:val="clear" w:color="auto" w:fill="auto"/>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养老机构“双随机、一公开”监管抽查</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1.《中华人民共和国老年人权益保障法》（2018年12月29日实施）</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第四十五条第一款：县级以上人民政府民政部门依法履行监督检查职责，可以采取以下措施：</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（一）向养老机构和个人了解情况；</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（二）进入涉嫌违法的养老机构进行现场检查；</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（三）查阅或者复制有关合同、票据、账簿及其他有关资料；</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（四）发现养老机构存在可能危及人身健康和生命财产安全风险的，责令限期改正，逾期不改正的，责令停业整顿。</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2.《养老机构管理办法》（2020年11月1日实施）</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第三十七条第一款：民政部门依法履行监督检查职责，可以采取以下措施：</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（一）向养老机构和个人了解情况；</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（二）进入涉嫌违法的养老机构进行现场检查；</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（三）查阅或者复制有关合同、票据、账簿及其他有关资料；</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（四）发现养老机构存在可能危及人身健康和生命财产安全风险的，责令限期改正，逾期不改正的，责令停业整顿。</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第二款：民政部门实施监督检查时，监督检查人员不得少于2人，应当出示执法证件。</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第三款：对民政部门依法进行的监督检查，养老机构应当配合，如实提供相关资料和信息，不得隐瞒、拒绝、阻碍。</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3.《民政部关于印发&lt;养老机构行政检查办法&gt;的通知》第四条第一款：已经备案的养老机构，由办理备案的民政部门实施行政检查。未备案的养老机构，由服务场所所在地的县级人民政府民政部门实施行政检查。</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第二款：上级民政部门可以通过查看养老机构服务场所、向养老机构和个人了解情况等方式监督指导下级民政部门开展行政检查工作。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全州在市场监管部门登记的养老机构4家，抽查比例为30%。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1、备案情况监督检查；2、合同 管理监督检查；3、服务收费监督 检查；4、信息公开监督检查；5  、规章制度落实情况监督检查；6 、养老服务质量安全检查；7、从 业人员监督检查；8、项目资金管 理和使用情况监督检查；9、特种 设备使用单位监督检查；10、食  品、保健食品虚假宣传检查；11  、食品安全情况监督检查；12、 养老机构消防验收及备案抽查手  续查验；13、养老机构房屋安全  鉴定情况监督检查；14、医疗服  务质量安全检查；15、疫情防控  措施落实情况监督检查；16、消  防监督检查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5月-7月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现场检查、非现场检查相结合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一年1次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各县市养老服务</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default" w:ascii="宋体" w:hAnsi="宋体" w:eastAsia="宋体" w:cs="宋体"/>
                <w:color w:val="000000"/>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是跨部门联合检查。牵头部门为州民政局，配合部门为州市场监 管局、州住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建局、州卫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健委、州消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防救援支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center"/>
              <w:outlineLvl w:val="9"/>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队</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p>
        </w:tc>
      </w:tr>
      <w:tr>
        <w:tblPrEx>
          <w:shd w:val="clear" w:color="auto" w:fill="auto"/>
          <w:tblCellMar>
            <w:top w:w="0" w:type="dxa"/>
            <w:left w:w="108" w:type="dxa"/>
            <w:bottom w:w="0" w:type="dxa"/>
            <w:right w:w="108" w:type="dxa"/>
          </w:tblCellMar>
        </w:tblPrEx>
        <w:trPr>
          <w:trHeight w:val="90" w:hRule="atLeast"/>
          <w:jc w:val="center"/>
        </w:trPr>
        <w:tc>
          <w:tcPr>
            <w:tcW w:w="148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填写说明：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1.检查事项、实施依据、承办机构栏原则上应与本单位涉企行政检查事项清单保持一致。其中，“实施依据”栏需列明以下内容：①法律法规规章名称（含规章令号）；②具体条、款、项、目；③引用相关条文原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2.根据投诉举报、转（交）办、数据监控等实施的触发式行政检查，按照省政府办公厅《关于严格规范涉企行政检查的实施方案》相关规定执行，不列入本计划。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3.“检查方式”栏主要包括现场检查/非现场检查/现场检查和非现场检查相结合三种，各单位在该栏目中可结合本单位实际细化具体检查手段等表述。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4.第四栏中“具体检查对象”应列明具体检查对象名单，或者精准描述检查对象具体范围；“备注”栏，需明确本项检查是否属“双随机一公开”抽查、专项检查、重点检查或一般检查等情形。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5.根据省政府办公厅《关于严格规范涉企行政检查的实施方案》相关规定，本表应在同级司法行政部门同意备案后，由制定机关15日内协调本级政府网站向社会公布。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outlineLvl w:val="9"/>
              <w:rPr>
                <w:rFonts w:hint="eastAsia" w:ascii="宋体" w:hAnsi="宋体" w:eastAsia="宋体" w:cs="宋体"/>
                <w:color w:val="000000"/>
                <w:szCs w:val="21"/>
                <w:lang w:val="en-US"/>
              </w:rPr>
            </w:pPr>
            <w:r>
              <w:rPr>
                <w:rFonts w:hint="eastAsia" w:ascii="宋体" w:hAnsi="宋体" w:eastAsia="宋体" w:cs="宋体"/>
                <w:color w:val="000000"/>
                <w:szCs w:val="21"/>
                <w:lang w:val="en-US"/>
              </w:rPr>
              <w:t>6.各单位与同级司法行政部门沟通一致后，可结合本单位实际在表格栏目外适当增加栏目。</w:t>
            </w:r>
          </w:p>
        </w:tc>
      </w:tr>
    </w:tbl>
    <w:p>
      <w:pPr>
        <w:keepNext w:val="0"/>
        <w:keepLines w:val="0"/>
        <w:widowControl w:val="0"/>
        <w:suppressLineNumbers w:val="0"/>
        <w:spacing w:before="0" w:beforeAutospacing="0" w:after="0" w:afterAutospacing="0"/>
        <w:ind w:left="0" w:right="0"/>
        <w:jc w:val="both"/>
        <w:rPr>
          <w:lang w:val="en-US"/>
        </w:rPr>
      </w:pPr>
    </w:p>
    <w:p>
      <w:bookmarkStart w:id="0" w:name="_GoBack"/>
      <w:bookmarkEnd w:id="0"/>
    </w:p>
    <w:sectPr>
      <w:footerReference r:id="rId3" w:type="default"/>
      <w:pgSz w:w="16838" w:h="11906" w:orient="landscape"/>
      <w:pgMar w:top="1803" w:right="1440" w:bottom="1803" w:left="1440" w:header="851" w:footer="992" w:gutter="0"/>
      <w:pgNumType w:fmt="decimal"/>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A61DC"/>
    <w:rsid w:val="2F964A23"/>
    <w:rsid w:val="42BA532C"/>
    <w:rsid w:val="556A61DC"/>
    <w:rsid w:val="73EF882F"/>
    <w:rsid w:val="781823FB"/>
    <w:rsid w:val="7E0E38FD"/>
    <w:rsid w:val="7E3B2CC8"/>
    <w:rsid w:val="AA5F856D"/>
    <w:rsid w:val="BFCD51D2"/>
    <w:rsid w:val="DFF9D55B"/>
    <w:rsid w:val="F35B9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0"/>
    <w:rPr>
      <w:rFonts w:hint="eastAsia" w:ascii="宋体" w:hAnsi="宋体" w:eastAsia="宋体" w:cs="宋体"/>
      <w:b/>
      <w:kern w:val="44"/>
      <w:sz w:val="48"/>
      <w:szCs w:val="48"/>
    </w:rPr>
  </w:style>
  <w:style w:type="character" w:customStyle="1" w:styleId="8">
    <w:name w:val="页脚 Char"/>
    <w:basedOn w:val="6"/>
    <w:link w:val="3"/>
    <w:qFormat/>
    <w:uiPriority w:val="0"/>
    <w:rPr>
      <w:kern w:val="2"/>
      <w:sz w:val="18"/>
      <w:szCs w:val="18"/>
    </w:rPr>
  </w:style>
  <w:style w:type="character" w:customStyle="1" w:styleId="9">
    <w:name w:val="font51"/>
    <w:basedOn w:val="6"/>
    <w:qFormat/>
    <w:uiPriority w:val="0"/>
    <w:rPr>
      <w:rFonts w:hint="eastAsia" w:ascii="黑体" w:hAnsi="宋体" w:eastAsia="黑体" w:cs="黑体"/>
      <w:color w:val="000000"/>
      <w:sz w:val="16"/>
      <w:szCs w:val="16"/>
      <w:u w:val="none"/>
    </w:rPr>
  </w:style>
  <w:style w:type="character" w:customStyle="1" w:styleId="10">
    <w:name w:val="font141"/>
    <w:basedOn w:val="6"/>
    <w:qFormat/>
    <w:uiPriority w:val="0"/>
    <w:rPr>
      <w:rFonts w:hint="eastAsia" w:ascii="黑体" w:hAnsi="宋体" w:eastAsia="黑体" w:cs="黑体"/>
      <w:color w:val="000000"/>
      <w:sz w:val="16"/>
      <w:szCs w:val="16"/>
      <w:u w:val="none"/>
    </w:rPr>
  </w:style>
  <w:style w:type="character" w:customStyle="1" w:styleId="11">
    <w:name w:val="font71"/>
    <w:basedOn w:val="6"/>
    <w:qFormat/>
    <w:uiPriority w:val="0"/>
    <w:rPr>
      <w:rFonts w:hint="eastAsia" w:ascii="黑体" w:hAnsi="宋体" w:eastAsia="黑体" w:cs="黑体"/>
      <w:color w:val="FF0000"/>
      <w:sz w:val="16"/>
      <w:szCs w:val="16"/>
      <w:u w:val="none"/>
    </w:rPr>
  </w:style>
  <w:style w:type="character" w:customStyle="1" w:styleId="12">
    <w:name w:val="font11"/>
    <w:basedOn w:val="6"/>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4050</Words>
  <Characters>4231</Characters>
  <Lines>0</Lines>
  <Paragraphs>0</Paragraphs>
  <TotalTime>1</TotalTime>
  <ScaleCrop>false</ScaleCrop>
  <LinksUpToDate>false</LinksUpToDate>
  <CharactersWithSpaces>4231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2025-03-27T11:30:00Z</dcterms:created>
  <dc:creator>Administrator</dc:creator>
  <cp:lastModifiedBy>ht</cp:lastModifiedBy>
  <cp:lastPrinted>2025-03-27T11:42:00Z</cp:lastPrinted>
  <dcterms:modified xsi:type="dcterms:W3CDTF">2025-04-14T15:27:21Z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eyJoZGlkIjoiOGIzOTZjM2Y2ODA3YjkyNjg5YjY0NTExMTRjYzgxZmYiLCJ1c2VySWQiOiIyNDEwOTIxMjYifQ==</vt:lpwstr>
  </property>
  <property fmtid="{D5CDD505-2E9C-101B-9397-08002B2CF9AE}" pid="4" name="ICV">
    <vt:lpwstr>21BD6F32D06845D5A2905AE25B49BB47_13</vt:lpwstr>
  </property>
</Properties>
</file>